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DA6587" w:rsidRPr="005C3D95" w:rsidTr="006A59C1">
        <w:trPr>
          <w:jc w:val="center"/>
        </w:trPr>
        <w:tc>
          <w:tcPr>
            <w:tcW w:w="1809" w:type="dxa"/>
            <w:vAlign w:val="center"/>
          </w:tcPr>
          <w:p w:rsidR="00DA6587" w:rsidRPr="005C3D95" w:rsidRDefault="00DA6587" w:rsidP="0020356B">
            <w:pPr>
              <w:spacing w:after="0" w:line="240" w:lineRule="auto"/>
              <w:rPr>
                <w:b/>
                <w:lang w:val="es-CO"/>
              </w:rPr>
            </w:pPr>
            <w:r w:rsidRPr="005C3D95">
              <w:rPr>
                <w:b/>
                <w:lang w:val="es-CO"/>
              </w:rPr>
              <w:t>DESEMPEÑO</w:t>
            </w:r>
          </w:p>
        </w:tc>
        <w:tc>
          <w:tcPr>
            <w:tcW w:w="6829" w:type="dxa"/>
            <w:vAlign w:val="center"/>
          </w:tcPr>
          <w:p w:rsidR="00DA6587" w:rsidRPr="005C3D95" w:rsidRDefault="0020356B" w:rsidP="0020356B">
            <w:pPr>
              <w:spacing w:after="0" w:line="240" w:lineRule="auto"/>
              <w:rPr>
                <w:lang w:val="es-CO"/>
              </w:rPr>
            </w:pPr>
            <w:r w:rsidRPr="00DA6587">
              <w:rPr>
                <w:bCs/>
                <w:lang w:val="es-CO"/>
              </w:rPr>
              <w:t>Identifico los Derechos civiles y políticos</w:t>
            </w:r>
          </w:p>
        </w:tc>
      </w:tr>
      <w:tr w:rsidR="00DA6587" w:rsidRPr="005C3D95" w:rsidTr="006A59C1">
        <w:trPr>
          <w:jc w:val="center"/>
        </w:trPr>
        <w:tc>
          <w:tcPr>
            <w:tcW w:w="1809" w:type="dxa"/>
            <w:vAlign w:val="center"/>
          </w:tcPr>
          <w:p w:rsidR="00DA6587" w:rsidRPr="005C3D95" w:rsidRDefault="00DA6587" w:rsidP="0020356B">
            <w:pPr>
              <w:spacing w:after="0" w:line="240" w:lineRule="auto"/>
              <w:rPr>
                <w:b/>
                <w:lang w:val="es-CO"/>
              </w:rPr>
            </w:pPr>
            <w:r w:rsidRPr="005C3D95">
              <w:rPr>
                <w:b/>
                <w:lang w:val="es-CO"/>
              </w:rPr>
              <w:t>CRITERIO DE EVALUACIÓN COGNITIVO</w:t>
            </w:r>
          </w:p>
        </w:tc>
        <w:tc>
          <w:tcPr>
            <w:tcW w:w="6829" w:type="dxa"/>
            <w:vAlign w:val="center"/>
          </w:tcPr>
          <w:p w:rsidR="00DA6587" w:rsidRPr="00706B1C" w:rsidRDefault="0020356B" w:rsidP="0020356B">
            <w:pPr>
              <w:spacing w:after="0" w:line="240" w:lineRule="auto"/>
              <w:rPr>
                <w:lang w:val="es-CO"/>
              </w:rPr>
            </w:pPr>
            <w:r>
              <w:rPr>
                <w:bCs/>
                <w:lang w:val="es-CO"/>
              </w:rPr>
              <w:t xml:space="preserve">Comprendo </w:t>
            </w:r>
            <w:r w:rsidR="00DA6587" w:rsidRPr="00DA6587">
              <w:rPr>
                <w:bCs/>
                <w:lang w:val="es-CO"/>
              </w:rPr>
              <w:t>los Derechos civiles y políticos</w:t>
            </w:r>
          </w:p>
        </w:tc>
      </w:tr>
    </w:tbl>
    <w:p w:rsidR="00DA6587" w:rsidRPr="005C3D95" w:rsidRDefault="00DA6587" w:rsidP="0020356B">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DA6587" w:rsidRPr="0020356B" w:rsidTr="006A59C1">
        <w:tc>
          <w:tcPr>
            <w:tcW w:w="10112" w:type="dxa"/>
            <w:shd w:val="clear" w:color="auto" w:fill="8064A2"/>
          </w:tcPr>
          <w:p w:rsidR="00DA6587" w:rsidRPr="0020356B" w:rsidRDefault="00DA6587" w:rsidP="0020356B">
            <w:pPr>
              <w:spacing w:after="0" w:line="240" w:lineRule="auto"/>
              <w:rPr>
                <w:b/>
                <w:bCs/>
                <w:color w:val="FFFFFF" w:themeColor="background1"/>
                <w:lang w:val="es-CO"/>
              </w:rPr>
            </w:pPr>
            <w:r w:rsidRPr="0020356B">
              <w:rPr>
                <w:b/>
                <w:bCs/>
                <w:color w:val="FFFFFF" w:themeColor="background1"/>
                <w:lang w:val="es-CO"/>
              </w:rPr>
              <w:t>NOTA PARA EL DOCENTE:</w:t>
            </w:r>
          </w:p>
          <w:p w:rsidR="00DA6587" w:rsidRPr="0020356B" w:rsidRDefault="00DA6587" w:rsidP="0020356B">
            <w:pPr>
              <w:spacing w:after="0" w:line="240" w:lineRule="auto"/>
              <w:rPr>
                <w:b/>
                <w:bCs/>
                <w:i/>
                <w:color w:val="FFFFFF" w:themeColor="background1"/>
                <w:u w:val="single"/>
                <w:lang w:val="es-CO"/>
              </w:rPr>
            </w:pPr>
            <w:r w:rsidRPr="0020356B">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DA6587" w:rsidRPr="005C3D95" w:rsidRDefault="00DA6587" w:rsidP="0020356B">
      <w:pPr>
        <w:spacing w:after="0" w:line="240" w:lineRule="auto"/>
        <w:rPr>
          <w:lang w:val="es-CO"/>
        </w:rPr>
      </w:pPr>
    </w:p>
    <w:p w:rsidR="00DA6587" w:rsidRDefault="00DA6587" w:rsidP="0020356B">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DA6587" w:rsidRDefault="00DA6587" w:rsidP="0020356B">
      <w:pPr>
        <w:spacing w:after="0" w:line="240" w:lineRule="auto"/>
        <w:contextualSpacing/>
        <w:jc w:val="both"/>
        <w:rPr>
          <w:rFonts w:ascii="Arial" w:eastAsia="Calibri" w:hAnsi="Arial" w:cs="Arial"/>
          <w:b/>
          <w:color w:val="215868"/>
          <w:sz w:val="20"/>
          <w:szCs w:val="20"/>
          <w:lang w:val="es-CO" w:eastAsia="es-CO"/>
        </w:rPr>
      </w:pPr>
    </w:p>
    <w:p w:rsidR="00DA6587" w:rsidRPr="00882408" w:rsidRDefault="00DA6587" w:rsidP="0020356B">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DA6587" w:rsidRDefault="0003051B" w:rsidP="0020356B">
      <w:pPr>
        <w:pStyle w:val="Prrafodelista"/>
        <w:numPr>
          <w:ilvl w:val="0"/>
          <w:numId w:val="1"/>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 xml:space="preserve">¿QUÉ PODEMOS ENTENDER POR DERECHOS CIVILES Y POLÍTICOS? </w:t>
      </w:r>
    </w:p>
    <w:p w:rsidR="00DA6587" w:rsidRDefault="00DA6587" w:rsidP="0020356B">
      <w:pPr>
        <w:pStyle w:val="Prrafodelista"/>
        <w:spacing w:after="0" w:line="240" w:lineRule="auto"/>
        <w:jc w:val="both"/>
        <w:rPr>
          <w:rFonts w:ascii="Arial" w:eastAsia="Calibri" w:hAnsi="Arial" w:cs="Arial"/>
          <w:b/>
          <w:color w:val="215868"/>
          <w:sz w:val="20"/>
          <w:szCs w:val="20"/>
          <w:lang w:val="es-CO" w:eastAsia="es-CO"/>
        </w:rPr>
      </w:pPr>
    </w:p>
    <w:p w:rsidR="00DA6587" w:rsidRPr="00706B1C" w:rsidRDefault="00DA6587" w:rsidP="0020356B">
      <w:pPr>
        <w:pStyle w:val="Prrafodelista"/>
        <w:spacing w:after="0" w:line="240" w:lineRule="auto"/>
        <w:jc w:val="both"/>
        <w:rPr>
          <w:rFonts w:ascii="Arial" w:eastAsia="Calibri" w:hAnsi="Arial" w:cs="Arial"/>
          <w:b/>
          <w:color w:val="215868"/>
          <w:sz w:val="20"/>
          <w:szCs w:val="20"/>
          <w:lang w:val="es-CO" w:eastAsia="es-CO"/>
        </w:rPr>
      </w:pPr>
    </w:p>
    <w:p w:rsidR="00DA6587" w:rsidRPr="00882408" w:rsidRDefault="00DA6587" w:rsidP="0020356B">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CONOZCAMOS</w:t>
      </w:r>
      <w:r w:rsidR="00752CFD" w:rsidRPr="00752CFD">
        <w:rPr>
          <w:rFonts w:ascii="Arial" w:eastAsia="Calibri" w:hAnsi="Arial" w:cs="Arial"/>
          <w:b/>
          <w:noProof/>
          <w:color w:val="215868"/>
          <w:sz w:val="20"/>
          <w:szCs w:val="20"/>
          <w:lang w:eastAsia="es-MX"/>
        </w:rPr>
        <w:pict>
          <v:line id="Conector recto 4" o:spid="_x0000_s1026" style="position:absolute;left:0;text-align:left;z-index:251659264;visibility:visible;mso-position-horizontal-relative:text;mso-position-vertical-relative:text" from="0,18.55pt" to="450pt,18.5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DA6587" w:rsidRPr="00882408" w:rsidRDefault="00DA6587" w:rsidP="0020356B">
      <w:pPr>
        <w:spacing w:after="0" w:line="240" w:lineRule="auto"/>
        <w:contextualSpacing/>
        <w:jc w:val="both"/>
        <w:rPr>
          <w:rFonts w:ascii="Arial" w:eastAsia="Calibri" w:hAnsi="Arial" w:cs="Arial"/>
          <w:b/>
          <w:color w:val="215868"/>
          <w:sz w:val="20"/>
          <w:szCs w:val="20"/>
          <w:lang w:val="es-CO" w:eastAsia="es-CO"/>
        </w:rPr>
      </w:pPr>
    </w:p>
    <w:p w:rsidR="0003051B" w:rsidRDefault="0003051B" w:rsidP="0020356B">
      <w:pPr>
        <w:pStyle w:val="Prrafodelista"/>
        <w:numPr>
          <w:ilvl w:val="0"/>
          <w:numId w:val="3"/>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 xml:space="preserve">¿QUÉ PODEMOS ENTENDER POR DERECHOS CIVILES Y POLÍTICOS? </w:t>
      </w:r>
    </w:p>
    <w:p w:rsidR="0020356B" w:rsidRPr="0020356B" w:rsidRDefault="0020356B" w:rsidP="0020356B">
      <w:pPr>
        <w:pStyle w:val="Prrafodelista"/>
        <w:spacing w:after="0" w:line="240" w:lineRule="auto"/>
        <w:jc w:val="both"/>
        <w:rPr>
          <w:rFonts w:ascii="Arial" w:eastAsia="Calibri" w:hAnsi="Arial" w:cs="Arial"/>
          <w:b/>
          <w:color w:val="215868"/>
          <w:sz w:val="20"/>
          <w:szCs w:val="20"/>
          <w:lang w:val="es-ES" w:eastAsia="es-CO"/>
        </w:rPr>
      </w:pPr>
    </w:p>
    <w:tbl>
      <w:tblPr>
        <w:tblW w:w="0" w:type="auto"/>
        <w:jc w:val="center"/>
        <w:tblBorders>
          <w:top w:val="single" w:sz="8" w:space="0" w:color="4F81BD"/>
          <w:bottom w:val="single" w:sz="8" w:space="0" w:color="4F81BD"/>
        </w:tblBorders>
        <w:tblLook w:val="04A0"/>
      </w:tblPr>
      <w:tblGrid>
        <w:gridCol w:w="9071"/>
      </w:tblGrid>
      <w:tr w:rsidR="0020356B" w:rsidRPr="00800B1F" w:rsidTr="00DE0682">
        <w:trPr>
          <w:jc w:val="center"/>
        </w:trPr>
        <w:tc>
          <w:tcPr>
            <w:tcW w:w="9071" w:type="dxa"/>
            <w:tcBorders>
              <w:top w:val="single" w:sz="8" w:space="0" w:color="4F81BD"/>
              <w:left w:val="nil"/>
              <w:bottom w:val="single" w:sz="8" w:space="0" w:color="4F81BD"/>
              <w:right w:val="nil"/>
            </w:tcBorders>
          </w:tcPr>
          <w:p w:rsidR="0020356B" w:rsidRPr="00800B1F" w:rsidRDefault="0020356B" w:rsidP="00DE0682">
            <w:pPr>
              <w:tabs>
                <w:tab w:val="left" w:pos="1590"/>
              </w:tabs>
              <w:spacing w:after="0" w:line="240" w:lineRule="auto"/>
              <w:jc w:val="center"/>
              <w:rPr>
                <w:rFonts w:eastAsia="Calibri" w:cs="Arial"/>
                <w:b/>
                <w:i/>
                <w:color w:val="215868"/>
                <w:lang w:val="es-CO" w:eastAsia="es-CO"/>
              </w:rPr>
            </w:pPr>
            <w:r w:rsidRPr="00800B1F">
              <w:rPr>
                <w:b/>
                <w:i/>
                <w:lang w:val="es-CO"/>
              </w:rPr>
              <w:t>Los derechos civiles y políticos son una categoría especial del Derecho Internacional de los Derechos Humanos que hace referencia a los derechos de los ciudadanos de un estado en las  de instancias de poder.</w:t>
            </w:r>
          </w:p>
        </w:tc>
      </w:tr>
    </w:tbl>
    <w:p w:rsidR="00800B1F" w:rsidRDefault="00800B1F" w:rsidP="0020356B">
      <w:pPr>
        <w:pStyle w:val="Prrafodelista"/>
        <w:spacing w:after="0" w:line="240" w:lineRule="auto"/>
        <w:jc w:val="both"/>
        <w:rPr>
          <w:rFonts w:ascii="Arial" w:eastAsia="Calibri" w:hAnsi="Arial" w:cs="Arial"/>
          <w:b/>
          <w:color w:val="215868"/>
          <w:sz w:val="20"/>
          <w:szCs w:val="20"/>
          <w:lang w:val="es-CO" w:eastAsia="es-CO"/>
        </w:rPr>
      </w:pPr>
    </w:p>
    <w:p w:rsidR="00DA6587" w:rsidRDefault="0003051B" w:rsidP="0020356B">
      <w:pPr>
        <w:tabs>
          <w:tab w:val="left" w:pos="1590"/>
        </w:tabs>
        <w:spacing w:after="0" w:line="240" w:lineRule="auto"/>
        <w:jc w:val="both"/>
        <w:rPr>
          <w:lang w:val="es-CO"/>
        </w:rPr>
      </w:pPr>
      <w:r w:rsidRPr="00800B1F">
        <w:rPr>
          <w:lang w:val="es-CO"/>
        </w:rPr>
        <w:t>Los derechos civiles y políticos son una categoría especial del Derecho Internacional de los Derechos Humanos</w:t>
      </w:r>
      <w:r w:rsidR="00800B1F" w:rsidRPr="00800B1F">
        <w:rPr>
          <w:lang w:val="es-CO"/>
        </w:rPr>
        <w:t xml:space="preserve"> que hace referencia a los derechos de los ciudadanos de un estado en</w:t>
      </w:r>
      <w:r w:rsidR="00800B1F">
        <w:rPr>
          <w:lang w:val="es-CO"/>
        </w:rPr>
        <w:t xml:space="preserve"> las </w:t>
      </w:r>
      <w:r w:rsidR="00800B1F" w:rsidRPr="00800B1F">
        <w:rPr>
          <w:lang w:val="es-CO"/>
        </w:rPr>
        <w:t xml:space="preserve"> de instancias de poder</w:t>
      </w:r>
      <w:r w:rsidRPr="00800B1F">
        <w:rPr>
          <w:lang w:val="es-CO"/>
        </w:rPr>
        <w:t>.</w:t>
      </w:r>
    </w:p>
    <w:p w:rsidR="0020356B" w:rsidRPr="00800B1F" w:rsidRDefault="0020356B" w:rsidP="0020356B">
      <w:pPr>
        <w:tabs>
          <w:tab w:val="left" w:pos="1590"/>
        </w:tabs>
        <w:spacing w:after="0" w:line="240" w:lineRule="auto"/>
        <w:jc w:val="both"/>
        <w:rPr>
          <w:rFonts w:eastAsia="Calibri" w:cs="Arial"/>
          <w:b/>
          <w:color w:val="215868"/>
          <w:lang w:val="es-CO" w:eastAsia="es-CO"/>
        </w:rPr>
      </w:pP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t>A menudo se menciona que los derechos civiles y políticos son “de primera generación”, mientras que los económicos, sociales y culturales son “de segunda generación”. Esta distinción es históricamente correcta sólo en términos doctrinarios, ya que los primeros corresponden a las ideas del liberalismo y de la lucha contra el absolutismo y el despotismo, mientras que los segundos corresponden históricamente a la irrupción de las ideas sociales, a fines del siglo XIX y primera mitad del siglo XX. En términos de derecho internacional, lo cierto es que ambas categorías irrumpen en este ámbito en forma simultánea. Antes de 1945 no se puede hablar de un derecho internacional de los derechos humanos, y la Declaración Universal ya mencionada incluye normas de una y otra categoría.</w:t>
      </w:r>
    </w:p>
    <w:p w:rsidR="00DE3122" w:rsidRPr="00DE3122" w:rsidRDefault="00DE3122" w:rsidP="0020356B">
      <w:pPr>
        <w:spacing w:after="0" w:line="240" w:lineRule="auto"/>
        <w:ind w:left="450" w:right="450"/>
        <w:jc w:val="both"/>
        <w:rPr>
          <w:rFonts w:eastAsia="Times New Roman" w:cs="Times New Roman"/>
          <w:lang w:val="es-ES" w:eastAsia="es-ES"/>
        </w:rPr>
      </w:pPr>
      <w:r w:rsidRPr="00DE3122">
        <w:rPr>
          <w:rFonts w:eastAsia="Times New Roman" w:cs="Times New Roman"/>
          <w:lang w:val="es-ES" w:eastAsia="es-ES"/>
        </w:rPr>
        <w:t xml:space="preserve">  </w:t>
      </w:r>
    </w:p>
    <w:p w:rsidR="00800B1F" w:rsidRPr="00800B1F" w:rsidRDefault="00DE3122" w:rsidP="0020356B">
      <w:pPr>
        <w:spacing w:after="0" w:line="240" w:lineRule="auto"/>
        <w:ind w:left="450" w:right="450"/>
        <w:jc w:val="both"/>
        <w:rPr>
          <w:rFonts w:eastAsia="Times New Roman" w:cs="Times New Roman"/>
          <w:lang w:val="es-ES" w:eastAsia="es-ES"/>
        </w:rPr>
      </w:pPr>
      <w:r w:rsidRPr="00DE3122">
        <w:rPr>
          <w:rFonts w:eastAsia="Times New Roman" w:cs="Times New Roman"/>
          <w:lang w:val="es-ES" w:eastAsia="es-ES"/>
        </w:rPr>
        <w:t>Un poco más precisa es la distinción que afirma que los derechos civiles y políticos son los derechos “de la libertad”, mientras los económicos, sociales y culturales son “de la igualdad”. En rigor, los derechos civiles y políticos implican restricciones a la acción del Estado, destinadas a proteger una esfera de autonomía individual para las personas y las colectividades. Desde el punto de vista del Estado, implican en general obligaciones de</w:t>
      </w:r>
      <w:r w:rsidRPr="00DE3122">
        <w:rPr>
          <w:rFonts w:eastAsia="Times New Roman" w:cs="Times New Roman"/>
          <w:i/>
          <w:lang w:val="es-ES" w:eastAsia="es-ES"/>
        </w:rPr>
        <w:t xml:space="preserve"> </w:t>
      </w:r>
      <w:r w:rsidRPr="00DE3122">
        <w:rPr>
          <w:rFonts w:eastAsia="Times New Roman" w:cs="Times New Roman"/>
          <w:lang w:val="es-ES" w:eastAsia="es-ES"/>
        </w:rPr>
        <w:t xml:space="preserve">no </w:t>
      </w:r>
      <w:r w:rsidRPr="00DE3122">
        <w:rPr>
          <w:rFonts w:eastAsia="Times New Roman" w:cs="Times New Roman"/>
          <w:lang w:val="es-ES" w:eastAsia="es-ES"/>
        </w:rPr>
        <w:lastRenderedPageBreak/>
        <w:t>hacer (no torturar, no sancionar sin juicio previo, no censurar publicaciones). Los derechos económicos, sociales y culturales pretenden establecer condiciones materiales mínimas en las cuales cada persona puede desarrollar su potencial humano y ejercer efectivamente sus derechos. Implican para el Estado una serie de obligaciones afirmativas, de hacer (construir escuelas, brindar servicios de salud, organizar la seguridad social). Sin embargo, no es necesariamente cierto que los derechos civiles y políticos no implican decisiones de inversión, mientras que los DESC dependen de los recursos disponibles: para garantizar juicio justo a todos los ciudadanos, por ejemplo, es imprescindible invertir en un Poder Judicial imparcial, independiente y eficaz. Mientras tanto, ciertas obligaciones de los DESC, como la no discriminación en la distribución de ciertos beneficios, se pueden cumplir aun con recursos muy limitados</w:t>
      </w:r>
    </w:p>
    <w:p w:rsidR="00DA6587" w:rsidRPr="005C3D95" w:rsidRDefault="00DA6587" w:rsidP="0020356B">
      <w:pPr>
        <w:spacing w:after="0" w:line="240" w:lineRule="auto"/>
        <w:rPr>
          <w:lang w:val="es-CO"/>
        </w:rPr>
      </w:pPr>
    </w:p>
    <w:p w:rsidR="00DA6587" w:rsidRPr="005C3D95" w:rsidRDefault="00DA6587" w:rsidP="0020356B">
      <w:pPr>
        <w:spacing w:after="0" w:line="240" w:lineRule="auto"/>
        <w:rPr>
          <w:b/>
          <w:lang w:val="es-CO"/>
        </w:rPr>
      </w:pPr>
    </w:p>
    <w:p w:rsidR="00DA6587" w:rsidRPr="00FF6032" w:rsidRDefault="00DA6587" w:rsidP="0020356B">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r w:rsidR="004E4F24" w:rsidRPr="00FF6032">
        <w:rPr>
          <w:b/>
          <w:noProof/>
          <w:lang w:val="es-CO" w:eastAsia="es-CO"/>
        </w:rPr>
        <w:drawing>
          <wp:inline distT="0" distB="0" distL="0" distR="0">
            <wp:extent cx="5671185" cy="125598"/>
            <wp:effectExtent l="19050" t="0" r="5715" b="0"/>
            <wp:docPr id="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598"/>
                    </a:xfrm>
                    <a:prstGeom prst="rect">
                      <a:avLst/>
                    </a:prstGeom>
                    <a:noFill/>
                  </pic:spPr>
                </pic:pic>
              </a:graphicData>
            </a:graphic>
          </wp:inline>
        </w:drawing>
      </w: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t>A continuación se enumeran los derechos civiles y políticos que han encontrado consagración en diversos instrumentos, junto con los artículos pertinentes a cada uno de ellos en el sistema universal y en el interamericano.</w:t>
      </w:r>
    </w:p>
    <w:p w:rsidR="00DE3122" w:rsidRPr="00DE3122" w:rsidRDefault="00DE3122" w:rsidP="0020356B">
      <w:pPr>
        <w:spacing w:after="0" w:line="240" w:lineRule="auto"/>
        <w:ind w:right="450"/>
        <w:rPr>
          <w:rFonts w:eastAsia="Times New Roman" w:cs="Times New Roman"/>
          <w:lang w:val="es-ES" w:eastAsia="es-ES"/>
        </w:rPr>
      </w:pPr>
      <w:r w:rsidRPr="00DE3122">
        <w:rPr>
          <w:rFonts w:eastAsia="Times New Roman" w:cs="Times New Roman"/>
          <w:lang w:val="es-ES" w:eastAsia="es-ES"/>
        </w:rPr>
        <w:t>A.</w:t>
      </w:r>
      <w:r w:rsidRPr="00DE3122">
        <w:rPr>
          <w:rFonts w:eastAsia="Times New Roman" w:cs="Times New Roman"/>
          <w:lang w:val="es-ES" w:eastAsia="es-ES"/>
        </w:rPr>
        <w:tab/>
        <w:t>Derecho a la autodeterminación de los pueblos (Artículo 1 del Pacto Internacional de Derechos Civiles y Políticos). Se trata de un derecho eminentemente colectivo, cuya inclusión en este instrumento tiene más carácter de principio rector que de norma operativa.</w:t>
      </w:r>
    </w:p>
    <w:p w:rsidR="00DE3122" w:rsidRPr="00DE3122" w:rsidRDefault="00DE3122" w:rsidP="0020356B">
      <w:pPr>
        <w:spacing w:after="0" w:line="240" w:lineRule="auto"/>
        <w:ind w:right="450"/>
        <w:rPr>
          <w:rFonts w:eastAsia="Times New Roman" w:cs="Times New Roman"/>
          <w:lang w:val="es-ES" w:eastAsia="es-ES"/>
        </w:rPr>
      </w:pPr>
      <w:r w:rsidRPr="00DE3122">
        <w:rPr>
          <w:rFonts w:eastAsia="Times New Roman" w:cs="Times New Roman"/>
          <w:lang w:val="es-ES" w:eastAsia="es-ES"/>
        </w:rPr>
        <w:t>B.</w:t>
      </w:r>
      <w:r w:rsidRPr="00DE3122">
        <w:rPr>
          <w:rFonts w:eastAsia="Times New Roman" w:cs="Times New Roman"/>
          <w:lang w:val="es-ES" w:eastAsia="es-ES"/>
        </w:rPr>
        <w:tab/>
        <w:t>Derecho a la igualdad (Artículo 7 de la Declaración</w:t>
      </w:r>
      <w:r>
        <w:rPr>
          <w:rFonts w:eastAsia="Times New Roman" w:cs="Times New Roman"/>
          <w:lang w:val="es-ES" w:eastAsia="es-ES"/>
        </w:rPr>
        <w:t xml:space="preserve"> Universal de Derechos Humanos </w:t>
      </w:r>
      <w:r w:rsidRPr="00DE3122">
        <w:rPr>
          <w:rFonts w:eastAsia="Times New Roman" w:cs="Times New Roman"/>
          <w:lang w:val="es-ES" w:eastAsia="es-ES"/>
        </w:rPr>
        <w:t>Artículos 3 y 26 del Pacto Internacional de Derechos Civiles y Políticos; Artículo 24 de la Convención Americana sobre Derechos Humanos).</w:t>
      </w:r>
    </w:p>
    <w:p w:rsidR="00DE3122" w:rsidRPr="00DE3122" w:rsidRDefault="00DE3122" w:rsidP="0020356B">
      <w:pPr>
        <w:spacing w:after="0" w:line="240" w:lineRule="auto"/>
        <w:ind w:left="450" w:right="450"/>
        <w:rPr>
          <w:rFonts w:eastAsia="Times New Roman" w:cs="Times New Roman"/>
          <w:lang w:val="es-ES" w:eastAsia="es-ES"/>
        </w:rPr>
      </w:pPr>
      <w:r w:rsidRPr="00DE3122">
        <w:rPr>
          <w:rFonts w:eastAsia="Times New Roman" w:cs="Times New Roman"/>
          <w:lang w:val="es-ES" w:eastAsia="es-ES"/>
        </w:rPr>
        <w:t xml:space="preserve">  </w:t>
      </w:r>
    </w:p>
    <w:p w:rsidR="00DE3122" w:rsidRPr="00DE3122" w:rsidRDefault="00DE3122" w:rsidP="0020356B">
      <w:pPr>
        <w:spacing w:after="0" w:line="240" w:lineRule="auto"/>
        <w:ind w:right="450"/>
        <w:rPr>
          <w:rFonts w:eastAsia="Times New Roman" w:cs="Times New Roman"/>
          <w:lang w:val="es-ES" w:eastAsia="es-ES"/>
        </w:rPr>
      </w:pPr>
      <w:r w:rsidRPr="00DE3122">
        <w:rPr>
          <w:rFonts w:eastAsia="Times New Roman" w:cs="Times New Roman"/>
          <w:lang w:val="es-ES" w:eastAsia="es-ES"/>
        </w:rPr>
        <w:t>C.</w:t>
      </w:r>
      <w:r w:rsidRPr="00DE3122">
        <w:rPr>
          <w:rFonts w:eastAsia="Times New Roman" w:cs="Times New Roman"/>
          <w:lang w:val="es-ES" w:eastAsia="es-ES"/>
        </w:rPr>
        <w:tab/>
        <w:t>Derecho a la vida (Artículo 3 de la Declaración Universal de Derechos Humanos, Artículo 6 del Pacto Internacional de Derechos Civiles y Políticos, Artículo 4 de la Convención Americana sobre Derechos Humanos). En relación al derecho a la vida existen dos aspectos en los cuales tanto los instrumentos internacionales, como la jurisprudencia y legislación interna tienen posiciones diversas. Se relacionan con el comienzo y el fin de la vida humana. El primero de ellos tiene relación con la pena de muerte. No existe una prohibición de la pena capital en el derecho internacional, pero sí una clara tendencia a favorecer su abolición o su restricción. En algunos casos su prohibición está consignada en un protocolo adicional a un tratado</w:t>
      </w:r>
      <w:r w:rsidRPr="00DE3122">
        <w:rPr>
          <w:rFonts w:eastAsia="Times New Roman" w:cs="Times New Roman"/>
          <w:vertAlign w:val="superscript"/>
          <w:lang w:val="es-ES" w:eastAsia="es-ES"/>
        </w:rPr>
        <w:t>16</w:t>
      </w:r>
      <w:r w:rsidRPr="00DE3122">
        <w:rPr>
          <w:rFonts w:eastAsia="Times New Roman" w:cs="Times New Roman"/>
          <w:lang w:val="es-ES" w:eastAsia="es-ES"/>
        </w:rPr>
        <w:t>. Algunos Estados han suscrito los tratados de derechos humanos haciendo reserva expresa a la prohibición de la pena de muerte</w:t>
      </w:r>
      <w:r w:rsidRPr="00DE3122">
        <w:rPr>
          <w:rFonts w:eastAsia="Times New Roman" w:cs="Times New Roman"/>
          <w:vertAlign w:val="superscript"/>
          <w:lang w:val="es-ES" w:eastAsia="es-ES"/>
        </w:rPr>
        <w:t>17</w:t>
      </w:r>
      <w:r w:rsidRPr="00DE3122">
        <w:rPr>
          <w:rFonts w:eastAsia="Times New Roman" w:cs="Times New Roman"/>
          <w:lang w:val="es-ES" w:eastAsia="es-ES"/>
        </w:rPr>
        <w:t>. La CADH la prohíbe para delitos políticos y conexos, así como su aplicación a menores de edad</w:t>
      </w:r>
      <w:r w:rsidRPr="00DE3122">
        <w:rPr>
          <w:rFonts w:eastAsia="Times New Roman" w:cs="Times New Roman"/>
          <w:vertAlign w:val="superscript"/>
          <w:lang w:val="es-ES" w:eastAsia="es-ES"/>
        </w:rPr>
        <w:t>18</w:t>
      </w:r>
      <w:r w:rsidRPr="00DE3122">
        <w:rPr>
          <w:rFonts w:eastAsia="Times New Roman" w:cs="Times New Roman"/>
          <w:lang w:val="es-ES" w:eastAsia="es-ES"/>
        </w:rPr>
        <w:t>.</w:t>
      </w: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t xml:space="preserve">El segundo aspecto polémico hace referencia al aborto y a la definición de cuál es el momento a partir del cual comienza la vida humana. El Art. 4 de la CADH establece que el derecho a la vida se protege “en general” desde el momento de la concepción. Sin embargo, en la única aplicación práctica de este artículo, en un caso llamado </w:t>
      </w:r>
      <w:proofErr w:type="spellStart"/>
      <w:r w:rsidRPr="00DE3122">
        <w:rPr>
          <w:rFonts w:eastAsia="Times New Roman" w:cs="Times New Roman"/>
          <w:i/>
          <w:lang w:val="es-ES" w:eastAsia="es-ES"/>
        </w:rPr>
        <w:t>Baby</w:t>
      </w:r>
      <w:proofErr w:type="spellEnd"/>
      <w:r w:rsidRPr="00DE3122">
        <w:rPr>
          <w:rFonts w:eastAsia="Times New Roman" w:cs="Times New Roman"/>
          <w:i/>
          <w:lang w:val="es-ES" w:eastAsia="es-ES"/>
        </w:rPr>
        <w:t xml:space="preserve"> </w:t>
      </w:r>
      <w:proofErr w:type="spellStart"/>
      <w:r w:rsidRPr="00DE3122">
        <w:rPr>
          <w:rFonts w:eastAsia="Times New Roman" w:cs="Times New Roman"/>
          <w:lang w:val="es-ES" w:eastAsia="es-ES"/>
        </w:rPr>
        <w:t>Boy</w:t>
      </w:r>
      <w:proofErr w:type="spellEnd"/>
      <w:r w:rsidRPr="00DE3122">
        <w:rPr>
          <w:rFonts w:eastAsia="Times New Roman" w:cs="Times New Roman"/>
          <w:lang w:val="es-ES" w:eastAsia="es-ES"/>
        </w:rPr>
        <w:t>, la Comisión Interamericana afirmó que esas palabras no implicaban la obligación de criminalizar el aborto</w:t>
      </w:r>
      <w:r w:rsidRPr="00DE3122">
        <w:rPr>
          <w:rFonts w:eastAsia="Times New Roman" w:cs="Times New Roman"/>
          <w:vertAlign w:val="superscript"/>
          <w:lang w:val="es-ES" w:eastAsia="es-ES"/>
        </w:rPr>
        <w:t>19</w:t>
      </w:r>
      <w:r w:rsidRPr="00DE3122">
        <w:rPr>
          <w:rFonts w:eastAsia="Times New Roman" w:cs="Times New Roman"/>
          <w:lang w:val="es-ES" w:eastAsia="es-ES"/>
        </w:rPr>
        <w:t>.</w:t>
      </w: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t>D.</w:t>
      </w:r>
      <w:r w:rsidRPr="00DE3122">
        <w:rPr>
          <w:rFonts w:eastAsia="Times New Roman" w:cs="Times New Roman"/>
          <w:lang w:val="es-ES" w:eastAsia="es-ES"/>
        </w:rPr>
        <w:tab/>
        <w:t>Derecho a la integridad personal (Artículo 5, DUDH; Artículo 7, PIDC&amp;P; Artículo 5, CADH). Para ver la aplicación práctica de este derecho en el caso de una desaparición forzada ver Caso Velásquez Rodríguez, Sentencia de 29 de julio de 1988, Corte I.D.H., (Ser. C) No. 4 (1988).</w:t>
      </w: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lastRenderedPageBreak/>
        <w:t>E.</w:t>
      </w:r>
      <w:r w:rsidRPr="00DE3122">
        <w:rPr>
          <w:rFonts w:eastAsia="Times New Roman" w:cs="Times New Roman"/>
          <w:lang w:val="es-ES" w:eastAsia="es-ES"/>
        </w:rPr>
        <w:tab/>
        <w:t>Libertad Personal (Artículos 3, 4 y 9 DUDH; Artículos 8 y 9 PIDC&amp;P; Artículos 6 y 7 CADH).</w:t>
      </w: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t>F.</w:t>
      </w:r>
      <w:r w:rsidRPr="00DE3122">
        <w:rPr>
          <w:rFonts w:eastAsia="Times New Roman" w:cs="Times New Roman"/>
          <w:lang w:val="es-ES" w:eastAsia="es-ES"/>
        </w:rPr>
        <w:tab/>
        <w:t>Derecho a un recurso judicial efectivo (Artículo 8 DUDH; Artículo 14 PIDC&amp;P; Artículo 25 CADH).</w:t>
      </w:r>
    </w:p>
    <w:p w:rsidR="00DE3122" w:rsidRPr="00DE3122" w:rsidRDefault="00DE3122" w:rsidP="0020356B">
      <w:pPr>
        <w:spacing w:after="0" w:line="240" w:lineRule="auto"/>
        <w:ind w:right="450"/>
        <w:jc w:val="both"/>
        <w:rPr>
          <w:rFonts w:eastAsia="Times New Roman" w:cs="Times New Roman"/>
          <w:lang w:val="es-ES" w:eastAsia="es-ES"/>
        </w:rPr>
      </w:pPr>
      <w:r w:rsidRPr="00DE3122">
        <w:rPr>
          <w:rFonts w:eastAsia="Times New Roman" w:cs="Times New Roman"/>
          <w:lang w:val="es-ES" w:eastAsia="es-ES"/>
        </w:rPr>
        <w:t>G.</w:t>
      </w:r>
      <w:r w:rsidRPr="00DE3122">
        <w:rPr>
          <w:rFonts w:eastAsia="Times New Roman" w:cs="Times New Roman"/>
          <w:lang w:val="es-ES" w:eastAsia="es-ES"/>
        </w:rPr>
        <w:tab/>
        <w:t>Libertad de movimiento o de locomoción (Artículo 13 DUDH; Artículo 12 PIDC&amp;P; Artículo 22 CADH). Para determinar el contenido de este derecho ver Comité de Derechos Humanos, Observación general 27, Noviembre 2 de 1999. CCPR/C/21/Rev.1/Add.9.</w:t>
      </w:r>
    </w:p>
    <w:p w:rsidR="00DE3122" w:rsidRPr="00DE3122" w:rsidRDefault="00DE3122" w:rsidP="0020356B">
      <w:pPr>
        <w:spacing w:after="0" w:line="240" w:lineRule="auto"/>
        <w:ind w:left="90" w:right="450"/>
        <w:jc w:val="both"/>
        <w:rPr>
          <w:rFonts w:eastAsia="Times New Roman" w:cs="Times New Roman"/>
          <w:lang w:val="es-ES" w:eastAsia="es-ES"/>
        </w:rPr>
      </w:pPr>
      <w:r w:rsidRPr="00DE3122">
        <w:rPr>
          <w:rFonts w:eastAsia="Times New Roman" w:cs="Times New Roman"/>
          <w:lang w:val="es-ES" w:eastAsia="es-ES"/>
        </w:rPr>
        <w:t>H.</w:t>
      </w:r>
      <w:r w:rsidRPr="00DE3122">
        <w:rPr>
          <w:rFonts w:eastAsia="Times New Roman" w:cs="Times New Roman"/>
          <w:lang w:val="es-ES" w:eastAsia="es-ES"/>
        </w:rPr>
        <w:tab/>
        <w:t>Derecho al debido proceso (Artículos 10, 11 DUDH; Artículos 14 y 15 PIDC&amp;P; Artículos 8, 9 y 10 CADH). En general, los diferentes tratados de derechos humanos establecen los mismos elementos en materia del derecho al debido proceso. Estos son: el derecho a ser oído por un tribunal competente, independiente e imparcial; la presunción de inocencia; las garantías procesales mínimas; el derecho a apelar las decisiones; el principio de legalidad; el principio de favorabilidad; y el principio de tipicidad.</w:t>
      </w:r>
    </w:p>
    <w:p w:rsidR="00DE3122" w:rsidRPr="00DE3122" w:rsidRDefault="00DE3122" w:rsidP="0020356B">
      <w:pPr>
        <w:spacing w:after="0" w:line="240" w:lineRule="auto"/>
        <w:ind w:left="90" w:right="450"/>
        <w:jc w:val="both"/>
        <w:rPr>
          <w:rFonts w:eastAsia="Times New Roman" w:cs="Times New Roman"/>
          <w:lang w:val="es-ES" w:eastAsia="es-ES"/>
        </w:rPr>
      </w:pPr>
      <w:r w:rsidRPr="00DE3122">
        <w:rPr>
          <w:rFonts w:eastAsia="Times New Roman" w:cs="Times New Roman"/>
          <w:lang w:val="es-ES" w:eastAsia="es-ES"/>
        </w:rPr>
        <w:t>I.</w:t>
      </w:r>
      <w:r w:rsidRPr="00DE3122">
        <w:rPr>
          <w:rFonts w:eastAsia="Times New Roman" w:cs="Times New Roman"/>
          <w:lang w:val="es-ES" w:eastAsia="es-ES"/>
        </w:rPr>
        <w:tab/>
        <w:t>Derecho al reconocimiento de la personalidad jurídica (Artículo 6 DUDH; Artículo 16 PIDC&amp;P; Artículo 3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 xml:space="preserve">  </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J.</w:t>
      </w:r>
      <w:r w:rsidRPr="00DE3122">
        <w:rPr>
          <w:rFonts w:eastAsia="Times New Roman" w:cs="Times New Roman"/>
          <w:lang w:val="es-ES" w:eastAsia="es-ES"/>
        </w:rPr>
        <w:tab/>
        <w:t>Derecho a la intimidad (Artículo 12 DUDH; Artículo 17 PIDC&amp;P; Artículo 11 CADH). Para determinar el contenido de este derecho, ver la Observación general 16 del Comité de Derechos Humanos sobre el Derecho al respeto a la vida privada, la familia, el domicilio y la correspondencia, y protección de la honra y la reputación (art. 17), del 4 de agosto de 1988.</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K.</w:t>
      </w:r>
      <w:r w:rsidRPr="00DE3122">
        <w:rPr>
          <w:rFonts w:eastAsia="Times New Roman" w:cs="Times New Roman"/>
          <w:lang w:val="es-ES" w:eastAsia="es-ES"/>
        </w:rPr>
        <w:tab/>
        <w:t>Derecho a la honra y al buen nombre (Artículos 11 y 14 de la Convención Americana sobre Derechos Humanos).</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L.</w:t>
      </w:r>
      <w:r w:rsidRPr="00DE3122">
        <w:rPr>
          <w:rFonts w:eastAsia="Times New Roman" w:cs="Times New Roman"/>
          <w:lang w:val="es-ES" w:eastAsia="es-ES"/>
        </w:rPr>
        <w:tab/>
        <w:t>Libertad de conciencia y de cultos (Artículo 18 DUDH; Artículo 18 PIDC&amp;P; Artículo 12 CADH). Para determinar el contenido de este derecho, ver Observación general 22 del Comité de Derechos Humanos sobre el Derecho a la libertad de pensamiento, de conciencia y de religión (art. 18), del 30 de julio de 1993.</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M.</w:t>
      </w:r>
      <w:r w:rsidRPr="00DE3122">
        <w:rPr>
          <w:rFonts w:eastAsia="Times New Roman" w:cs="Times New Roman"/>
          <w:lang w:val="es-ES" w:eastAsia="es-ES"/>
        </w:rPr>
        <w:tab/>
        <w:t>Libertad de pensamiento (Artículo 18 DUDH, Artículo 19 PIDC&amp;P, Artículo 13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N.</w:t>
      </w:r>
      <w:r w:rsidRPr="00DE3122">
        <w:rPr>
          <w:rFonts w:eastAsia="Times New Roman" w:cs="Times New Roman"/>
          <w:lang w:val="es-ES" w:eastAsia="es-ES"/>
        </w:rPr>
        <w:tab/>
        <w:t>Libertad de expresión y de información (Artículo 19 DUDH, Artículo 19 PIDC&amp;P, Artículo 13 CADH). Es de hacer notar que la CADH tiene normas más protectoras de la libertad de expresión que sus homólogas en el derecho universal y europeo. En nuestro continente se prohíbe la censura bajo todo concepto, y sólo se admiten las responsabilidades ulteriores. Además, aunque se prescribe la prohibición de expresiones de odio racial y religioso, sólo es necesario prohibir aquellas que constituyen incitación a cometer delitos (en cambio, en el PIDC&amp;P y en la Convención Europea, debe prohibirse la expresión que incite también a la discriminación). También se establece en nuestro continente el derecho a réplica (Artículo 14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O.</w:t>
      </w:r>
      <w:r w:rsidRPr="00DE3122">
        <w:rPr>
          <w:rFonts w:eastAsia="Times New Roman" w:cs="Times New Roman"/>
          <w:lang w:val="es-ES" w:eastAsia="es-ES"/>
        </w:rPr>
        <w:tab/>
        <w:t>Derecho de reunión (Artículo 20 DUDH, Artículo 21 PIDC&amp;P, Artículo 15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P.</w:t>
      </w:r>
      <w:r w:rsidRPr="00DE3122">
        <w:rPr>
          <w:rFonts w:eastAsia="Times New Roman" w:cs="Times New Roman"/>
          <w:lang w:val="es-ES" w:eastAsia="es-ES"/>
        </w:rPr>
        <w:tab/>
        <w:t>Libertad de asociación (Artículo 20 DUDH, Artículo 22 PIDC&amp;P, Artículo 16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Q.</w:t>
      </w:r>
      <w:r w:rsidRPr="00DE3122">
        <w:rPr>
          <w:rFonts w:eastAsia="Times New Roman" w:cs="Times New Roman"/>
          <w:lang w:val="es-ES" w:eastAsia="es-ES"/>
        </w:rPr>
        <w:tab/>
        <w:t>Derecho de asilo (Artículo 14 de la Declaración Universal de Derechos Humanos).</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R.</w:t>
      </w:r>
      <w:r w:rsidRPr="00DE3122">
        <w:rPr>
          <w:rFonts w:eastAsia="Times New Roman" w:cs="Times New Roman"/>
          <w:lang w:val="es-ES" w:eastAsia="es-ES"/>
        </w:rPr>
        <w:tab/>
        <w:t>Derecho a la nacionalidad (Artículo 15 DUDH, Artículo 24 PIDC&amp;P, Artículo 20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S.</w:t>
      </w:r>
      <w:r w:rsidRPr="00DE3122">
        <w:rPr>
          <w:rFonts w:eastAsia="Times New Roman" w:cs="Times New Roman"/>
          <w:lang w:val="es-ES" w:eastAsia="es-ES"/>
        </w:rPr>
        <w:tab/>
        <w:t>Derecho al nombre (Artículo 24 PIDC&amp;P, Artículo 18 CADH).</w:t>
      </w:r>
    </w:p>
    <w:p w:rsidR="00DE3122" w:rsidRPr="00DE3122" w:rsidRDefault="00DE3122" w:rsidP="0020356B">
      <w:pPr>
        <w:spacing w:after="0" w:line="240" w:lineRule="auto"/>
        <w:ind w:left="90" w:right="450"/>
        <w:jc w:val="both"/>
        <w:rPr>
          <w:rFonts w:eastAsia="Times New Roman" w:cs="Times New Roman"/>
          <w:lang w:val="es-ES" w:eastAsia="es-ES"/>
        </w:rPr>
      </w:pPr>
      <w:r w:rsidRPr="00DE3122">
        <w:rPr>
          <w:rFonts w:eastAsia="Times New Roman" w:cs="Times New Roman"/>
          <w:lang w:val="es-ES" w:eastAsia="es-ES"/>
        </w:rPr>
        <w:t>T.</w:t>
      </w:r>
      <w:r w:rsidRPr="00DE3122">
        <w:rPr>
          <w:rFonts w:eastAsia="Times New Roman" w:cs="Times New Roman"/>
          <w:lang w:val="es-ES" w:eastAsia="es-ES"/>
        </w:rPr>
        <w:tab/>
        <w:t xml:space="preserve">Derecho a la </w:t>
      </w:r>
      <w:r w:rsidRPr="00DE3122">
        <w:rPr>
          <w:rFonts w:eastAsia="Times New Roman" w:cs="Times New Roman"/>
          <w:i/>
          <w:lang w:val="es-ES" w:eastAsia="es-ES"/>
        </w:rPr>
        <w:t>participación política</w:t>
      </w:r>
      <w:r w:rsidRPr="00DE3122">
        <w:rPr>
          <w:rFonts w:eastAsia="Times New Roman" w:cs="Times New Roman"/>
          <w:lang w:val="es-ES" w:eastAsia="es-ES"/>
        </w:rPr>
        <w:t xml:space="preserve"> (Artículo 21 DUDH, Artículo 25 PIDC&amp;P, Artículo 23 CADH). Este derecho tiene varios elementos: el derecho a participar en el gobierno directamente o a través de sus representantes libremente elegidos, el derecho de acceso a </w:t>
      </w:r>
      <w:r w:rsidRPr="00DE3122">
        <w:rPr>
          <w:rFonts w:eastAsia="Times New Roman" w:cs="Times New Roman"/>
          <w:lang w:val="es-ES" w:eastAsia="es-ES"/>
        </w:rPr>
        <w:lastRenderedPageBreak/>
        <w:t xml:space="preserve">los cargos públicos, y el derecho a participar en las </w:t>
      </w:r>
      <w:r w:rsidRPr="00DE3122">
        <w:rPr>
          <w:rFonts w:eastAsia="Times New Roman" w:cs="Times New Roman"/>
          <w:i/>
          <w:lang w:val="es-ES" w:eastAsia="es-ES"/>
        </w:rPr>
        <w:t>elecciones</w:t>
      </w:r>
      <w:r w:rsidRPr="00DE3122">
        <w:rPr>
          <w:rFonts w:eastAsia="Times New Roman" w:cs="Times New Roman"/>
          <w:lang w:val="es-ES" w:eastAsia="es-ES"/>
        </w:rPr>
        <w:br/>
        <w:t>–que comprende el derecho a elegir y a ser elegido–. A este respecto puede verse la Observación General 25 del Comité de Derechos Humanos sobre el Derecho a participar en los asuntos públicos, derecho a votar y derecho al acceso, en condiciones de igualdad a las funciones públicas (art. 25), del 7 de diciembre de 1996.</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 xml:space="preserve">  </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U.</w:t>
      </w:r>
      <w:r w:rsidRPr="00DE3122">
        <w:rPr>
          <w:rFonts w:eastAsia="Times New Roman" w:cs="Times New Roman"/>
          <w:lang w:val="es-ES" w:eastAsia="es-ES"/>
        </w:rPr>
        <w:tab/>
        <w:t>Derecho a la propiedad (Artículo 17 DUDH, Artículo 21 CADH).</w:t>
      </w:r>
    </w:p>
    <w:p w:rsidR="00DE3122" w:rsidRPr="00DE3122" w:rsidRDefault="00DE3122" w:rsidP="0020356B">
      <w:pPr>
        <w:spacing w:after="0" w:line="240" w:lineRule="auto"/>
        <w:ind w:left="450" w:right="450" w:hanging="360"/>
        <w:jc w:val="both"/>
        <w:rPr>
          <w:rFonts w:eastAsia="Times New Roman" w:cs="Times New Roman"/>
          <w:lang w:val="es-ES" w:eastAsia="es-ES"/>
        </w:rPr>
      </w:pPr>
      <w:r w:rsidRPr="00DE3122">
        <w:rPr>
          <w:rFonts w:eastAsia="Times New Roman" w:cs="Times New Roman"/>
          <w:lang w:val="es-ES" w:eastAsia="es-ES"/>
        </w:rPr>
        <w:t>V.</w:t>
      </w:r>
      <w:r w:rsidRPr="00DE3122">
        <w:rPr>
          <w:rFonts w:eastAsia="Times New Roman" w:cs="Times New Roman"/>
          <w:lang w:val="es-ES" w:eastAsia="es-ES"/>
        </w:rPr>
        <w:tab/>
        <w:t>Protección especial: Además del artículo general del derecho a la igualdad, algunos instrumentos internacionales establecen expresamente el derecho a medidas especiales de protección para los grupos más vulnerables. Es así como el Pacto Internacional de Derechos Civiles y Políticos se refiere a los niños en el artículo 24, y la Convención Americana sobre Derechos Humanos en el artículo 19. Asimismo, los instrumentos internacionales consagran una especial protección a la familia, así como el derecho de conformar una familia. En años recientes, la labor de promoción de nuevos estándares, tanto a nivel universal como interamericano, se ha dirigido a la elaboración y promulgación de tratados multilaterales sobre derechos de personas en situaciones especiales. Tales tratados suelen contener tanto normas de derechos civiles y políticos como económicos, sociales y culturales. Algunos ejemplos son la Convención para la Eliminación de Toda Forma de Discriminación Racial (CERD), la Convención para la Eliminación de la Discriminación contra la Mujer (CEDAW), la Convención Interamericana sobre Violencia contra la Mujer o Pacto de Belem do Pará, y la Convención sobre Derechos del Niño, que es el instrumento internacional más ampliamente ratificado.</w:t>
      </w:r>
    </w:p>
    <w:p w:rsidR="004E4F24" w:rsidRPr="00DE3122" w:rsidRDefault="004E4F24" w:rsidP="0020356B">
      <w:pPr>
        <w:spacing w:after="0" w:line="240" w:lineRule="auto"/>
        <w:contextualSpacing/>
        <w:jc w:val="both"/>
        <w:rPr>
          <w:b/>
          <w:lang w:val="es-ES"/>
        </w:rPr>
      </w:pPr>
    </w:p>
    <w:p w:rsidR="00FF6032" w:rsidRDefault="00FF6032" w:rsidP="0020356B">
      <w:pPr>
        <w:spacing w:after="0" w:line="240" w:lineRule="auto"/>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br w:type="page"/>
      </w:r>
    </w:p>
    <w:p w:rsidR="004E4F24" w:rsidRPr="00882408" w:rsidRDefault="004E4F24" w:rsidP="0020356B">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lastRenderedPageBreak/>
        <w:t>EVALUACIÓN</w:t>
      </w:r>
    </w:p>
    <w:p w:rsidR="004E4F24" w:rsidRDefault="004E4F24" w:rsidP="0020356B">
      <w:pPr>
        <w:spacing w:after="0" w:line="240" w:lineRule="auto"/>
        <w:contextualSpacing/>
        <w:jc w:val="both"/>
        <w:rPr>
          <w:b/>
          <w:lang w:val="es-CO"/>
        </w:rPr>
      </w:pPr>
    </w:p>
    <w:p w:rsidR="004E4F24" w:rsidRDefault="00752CFD" w:rsidP="0020356B">
      <w:pPr>
        <w:spacing w:after="0" w:line="240" w:lineRule="auto"/>
        <w:contextualSpacing/>
        <w:jc w:val="both"/>
        <w:rPr>
          <w:b/>
          <w:lang w:val="es-CO"/>
        </w:rPr>
      </w:pPr>
      <w:r w:rsidRPr="00752CFD">
        <w:rPr>
          <w:noProof/>
          <w:lang w:eastAsia="es-MX"/>
        </w:rPr>
        <w:pict>
          <v:line id="_x0000_s1029" style="position:absolute;left:0;text-align:left;z-index:251662336;visibility:visible" from="-20.85pt,4.2pt" to="429.15pt,4.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4E4F24" w:rsidRDefault="004E4F24" w:rsidP="0020356B">
      <w:pPr>
        <w:spacing w:after="0" w:line="240" w:lineRule="auto"/>
        <w:contextualSpacing/>
        <w:jc w:val="both"/>
        <w:rPr>
          <w:b/>
          <w:lang w:val="es-CO"/>
        </w:rPr>
      </w:pPr>
    </w:p>
    <w:p w:rsidR="004E4F24" w:rsidRDefault="004E4F24" w:rsidP="0020356B">
      <w:pPr>
        <w:spacing w:after="0" w:line="240" w:lineRule="auto"/>
        <w:contextualSpacing/>
        <w:jc w:val="both"/>
        <w:rPr>
          <w:b/>
          <w:lang w:val="es-CO"/>
        </w:rPr>
      </w:pPr>
    </w:p>
    <w:p w:rsidR="00DA6587" w:rsidRPr="005C3D95" w:rsidRDefault="00DA6587" w:rsidP="0020356B">
      <w:pPr>
        <w:spacing w:after="0" w:line="240" w:lineRule="auto"/>
      </w:pPr>
      <w:r w:rsidRPr="005C3D95">
        <w:rPr>
          <w:lang w:val="es-CO"/>
        </w:rPr>
        <w:t>Teniendo en cuenta las lecturas anteriores diligencia el siguiente cuadro, en el último apartado desarrolla ejemplos que no se hayan trabajado.</w:t>
      </w:r>
    </w:p>
    <w:p w:rsidR="00DA6587" w:rsidRPr="005C3D95" w:rsidRDefault="00DA6587" w:rsidP="0020356B">
      <w:pPr>
        <w:spacing w:after="0" w:line="240" w:lineRule="auto"/>
      </w:pPr>
    </w:p>
    <w:tbl>
      <w:tblPr>
        <w:tblStyle w:val="Cuadrculamedia1-nfasis4"/>
        <w:tblW w:w="10348" w:type="dxa"/>
        <w:tblInd w:w="-601" w:type="dxa"/>
        <w:tblLook w:val="04A0"/>
      </w:tblPr>
      <w:tblGrid>
        <w:gridCol w:w="1276"/>
        <w:gridCol w:w="2268"/>
        <w:gridCol w:w="3119"/>
        <w:gridCol w:w="3685"/>
      </w:tblGrid>
      <w:tr w:rsidR="00DA6587" w:rsidRPr="005C3D95" w:rsidTr="00FF6032">
        <w:trPr>
          <w:cnfStyle w:val="100000000000"/>
        </w:trPr>
        <w:tc>
          <w:tcPr>
            <w:cnfStyle w:val="001000000000"/>
            <w:tcW w:w="1276" w:type="dxa"/>
            <w:vMerge w:val="restart"/>
          </w:tcPr>
          <w:p w:rsidR="00DA6587" w:rsidRPr="005C3D95" w:rsidRDefault="00DA6587" w:rsidP="0020356B"/>
          <w:p w:rsidR="00DA6587" w:rsidRPr="005C3D95" w:rsidRDefault="00DA6587" w:rsidP="0020356B"/>
          <w:p w:rsidR="00DA6587" w:rsidRPr="005C3D95" w:rsidRDefault="00DA6587" w:rsidP="0020356B"/>
          <w:p w:rsidR="00DA6587" w:rsidRPr="005C3D95" w:rsidRDefault="00DA6587" w:rsidP="0020356B"/>
          <w:p w:rsidR="00DA6587" w:rsidRPr="005C3D95" w:rsidRDefault="00DA6587" w:rsidP="0020356B"/>
          <w:p w:rsidR="00DA6587" w:rsidRPr="005C3D95" w:rsidRDefault="00DA6587" w:rsidP="0020356B"/>
          <w:p w:rsidR="00DA6587" w:rsidRPr="005C3D95" w:rsidRDefault="00FF6032" w:rsidP="0020356B">
            <w:r w:rsidRPr="00DA6587">
              <w:rPr>
                <w:lang w:val="es-CO"/>
              </w:rPr>
              <w:t>DERECHOS CIVILES Y POLÍTICOS</w:t>
            </w:r>
          </w:p>
        </w:tc>
        <w:tc>
          <w:tcPr>
            <w:tcW w:w="2268" w:type="dxa"/>
          </w:tcPr>
          <w:p w:rsidR="00DA6587" w:rsidRPr="005C3D95" w:rsidRDefault="00FF6032" w:rsidP="0020356B">
            <w:pPr>
              <w:cnfStyle w:val="100000000000"/>
            </w:pPr>
            <w:r>
              <w:t>Características internacionales</w:t>
            </w:r>
          </w:p>
        </w:tc>
        <w:tc>
          <w:tcPr>
            <w:tcW w:w="3119" w:type="dxa"/>
          </w:tcPr>
          <w:p w:rsidR="00DA6587" w:rsidRPr="005C3D95" w:rsidRDefault="00FF6032" w:rsidP="0020356B">
            <w:pPr>
              <w:cnfStyle w:val="100000000000"/>
            </w:pPr>
            <w:r>
              <w:t>Compromisos nacionales</w:t>
            </w:r>
          </w:p>
        </w:tc>
        <w:tc>
          <w:tcPr>
            <w:tcW w:w="3685" w:type="dxa"/>
          </w:tcPr>
          <w:p w:rsidR="00DA6587" w:rsidRPr="005C3D95" w:rsidRDefault="00FF6032" w:rsidP="0020356B">
            <w:pPr>
              <w:cnfStyle w:val="100000000000"/>
            </w:pPr>
            <w:r w:rsidRPr="005C3D95">
              <w:t xml:space="preserve">Ejemplos de </w:t>
            </w:r>
            <w:r>
              <w:t xml:space="preserve">vulneración de los </w:t>
            </w:r>
            <w:r w:rsidRPr="00DA6587">
              <w:rPr>
                <w:lang w:val="es-CO"/>
              </w:rPr>
              <w:t>derechos civiles y políticos</w:t>
            </w:r>
          </w:p>
        </w:tc>
      </w:tr>
      <w:tr w:rsidR="00FF6032" w:rsidRPr="005C3D95" w:rsidTr="00FF6032">
        <w:trPr>
          <w:cnfStyle w:val="000000100000"/>
        </w:trPr>
        <w:tc>
          <w:tcPr>
            <w:cnfStyle w:val="001000000000"/>
            <w:tcW w:w="1276" w:type="dxa"/>
            <w:vMerge/>
          </w:tcPr>
          <w:p w:rsidR="00FF6032" w:rsidRPr="005C3D95" w:rsidRDefault="00FF6032" w:rsidP="0020356B"/>
        </w:tc>
        <w:tc>
          <w:tcPr>
            <w:tcW w:w="2268" w:type="dxa"/>
          </w:tcPr>
          <w:p w:rsidR="00FF6032" w:rsidRPr="005C3D95" w:rsidRDefault="00FF6032" w:rsidP="0020356B">
            <w:pPr>
              <w:cnfStyle w:val="000000100000"/>
            </w:pPr>
          </w:p>
          <w:p w:rsidR="00FF6032" w:rsidRPr="005C3D95" w:rsidRDefault="00FF6032" w:rsidP="0020356B">
            <w:pPr>
              <w:cnfStyle w:val="000000100000"/>
            </w:pPr>
          </w:p>
          <w:p w:rsidR="00FF6032" w:rsidRPr="005C3D95" w:rsidRDefault="00FF6032" w:rsidP="0020356B">
            <w:pPr>
              <w:cnfStyle w:val="000000100000"/>
            </w:pPr>
          </w:p>
        </w:tc>
        <w:tc>
          <w:tcPr>
            <w:tcW w:w="3119" w:type="dxa"/>
          </w:tcPr>
          <w:p w:rsidR="00FF6032" w:rsidRPr="005C3D95" w:rsidRDefault="00FF6032" w:rsidP="0020356B">
            <w:pPr>
              <w:cnfStyle w:val="000000100000"/>
            </w:pPr>
          </w:p>
        </w:tc>
        <w:tc>
          <w:tcPr>
            <w:tcW w:w="3685" w:type="dxa"/>
            <w:vMerge w:val="restart"/>
          </w:tcPr>
          <w:p w:rsidR="00FF6032" w:rsidRPr="005C3D95" w:rsidRDefault="00FF6032" w:rsidP="0020356B">
            <w:pPr>
              <w:cnfStyle w:val="000000100000"/>
            </w:pPr>
          </w:p>
        </w:tc>
      </w:tr>
      <w:tr w:rsidR="00FF6032" w:rsidRPr="005C3D95" w:rsidTr="00FF6032">
        <w:tc>
          <w:tcPr>
            <w:cnfStyle w:val="001000000000"/>
            <w:tcW w:w="1276" w:type="dxa"/>
            <w:vMerge/>
          </w:tcPr>
          <w:p w:rsidR="00FF6032" w:rsidRPr="005C3D95" w:rsidRDefault="00FF6032" w:rsidP="0020356B"/>
        </w:tc>
        <w:tc>
          <w:tcPr>
            <w:tcW w:w="2268" w:type="dxa"/>
          </w:tcPr>
          <w:p w:rsidR="00FF6032" w:rsidRPr="005C3D95" w:rsidRDefault="00FF6032" w:rsidP="0020356B">
            <w:pPr>
              <w:cnfStyle w:val="000000000000"/>
            </w:pPr>
          </w:p>
          <w:p w:rsidR="00FF6032" w:rsidRPr="005C3D95" w:rsidRDefault="00FF6032" w:rsidP="0020356B">
            <w:pPr>
              <w:cnfStyle w:val="000000000000"/>
            </w:pPr>
          </w:p>
          <w:p w:rsidR="00FF6032" w:rsidRPr="005C3D95" w:rsidRDefault="00FF6032" w:rsidP="0020356B">
            <w:pPr>
              <w:cnfStyle w:val="000000000000"/>
            </w:pPr>
          </w:p>
        </w:tc>
        <w:tc>
          <w:tcPr>
            <w:tcW w:w="3119" w:type="dxa"/>
          </w:tcPr>
          <w:p w:rsidR="00FF6032" w:rsidRPr="005C3D95" w:rsidRDefault="00FF6032" w:rsidP="0020356B">
            <w:pPr>
              <w:cnfStyle w:val="000000000000"/>
            </w:pPr>
          </w:p>
        </w:tc>
        <w:tc>
          <w:tcPr>
            <w:tcW w:w="3685" w:type="dxa"/>
            <w:vMerge/>
          </w:tcPr>
          <w:p w:rsidR="00FF6032" w:rsidRPr="005C3D95" w:rsidRDefault="00FF6032" w:rsidP="0020356B">
            <w:pPr>
              <w:cnfStyle w:val="000000000000"/>
            </w:pPr>
          </w:p>
        </w:tc>
      </w:tr>
      <w:tr w:rsidR="00FF6032" w:rsidRPr="005C3D95" w:rsidTr="00FF6032">
        <w:trPr>
          <w:cnfStyle w:val="000000100000"/>
        </w:trPr>
        <w:tc>
          <w:tcPr>
            <w:cnfStyle w:val="001000000000"/>
            <w:tcW w:w="1276" w:type="dxa"/>
            <w:vMerge/>
          </w:tcPr>
          <w:p w:rsidR="00FF6032" w:rsidRPr="005C3D95" w:rsidRDefault="00FF6032" w:rsidP="0020356B"/>
        </w:tc>
        <w:tc>
          <w:tcPr>
            <w:tcW w:w="2268" w:type="dxa"/>
          </w:tcPr>
          <w:p w:rsidR="00FF6032" w:rsidRPr="005C3D95" w:rsidRDefault="00FF6032" w:rsidP="0020356B">
            <w:pPr>
              <w:cnfStyle w:val="000000100000"/>
            </w:pPr>
          </w:p>
          <w:p w:rsidR="00FF6032" w:rsidRPr="005C3D95" w:rsidRDefault="00FF6032" w:rsidP="0020356B">
            <w:pPr>
              <w:cnfStyle w:val="000000100000"/>
            </w:pPr>
          </w:p>
          <w:p w:rsidR="00FF6032" w:rsidRPr="005C3D95" w:rsidRDefault="00FF6032" w:rsidP="0020356B">
            <w:pPr>
              <w:cnfStyle w:val="000000100000"/>
            </w:pPr>
          </w:p>
        </w:tc>
        <w:tc>
          <w:tcPr>
            <w:tcW w:w="3119" w:type="dxa"/>
          </w:tcPr>
          <w:p w:rsidR="00FF6032" w:rsidRPr="005C3D95" w:rsidRDefault="00FF6032" w:rsidP="0020356B">
            <w:pPr>
              <w:cnfStyle w:val="000000100000"/>
            </w:pPr>
          </w:p>
        </w:tc>
        <w:tc>
          <w:tcPr>
            <w:tcW w:w="3685" w:type="dxa"/>
            <w:vMerge w:val="restart"/>
            <w:shd w:val="clear" w:color="auto" w:fill="E5DFEC" w:themeFill="accent4" w:themeFillTint="33"/>
          </w:tcPr>
          <w:p w:rsidR="00FF6032" w:rsidRPr="005C3D95" w:rsidRDefault="00FF6032" w:rsidP="0020356B">
            <w:pPr>
              <w:cnfStyle w:val="000000100000"/>
            </w:pPr>
          </w:p>
        </w:tc>
      </w:tr>
      <w:tr w:rsidR="00FF6032" w:rsidRPr="005C3D95" w:rsidTr="00FF6032">
        <w:tc>
          <w:tcPr>
            <w:cnfStyle w:val="001000000000"/>
            <w:tcW w:w="1276" w:type="dxa"/>
            <w:vMerge/>
          </w:tcPr>
          <w:p w:rsidR="00FF6032" w:rsidRPr="005C3D95" w:rsidRDefault="00FF6032" w:rsidP="0020356B"/>
        </w:tc>
        <w:tc>
          <w:tcPr>
            <w:tcW w:w="2268" w:type="dxa"/>
          </w:tcPr>
          <w:p w:rsidR="00FF6032" w:rsidRPr="005C3D95" w:rsidRDefault="00FF6032" w:rsidP="0020356B">
            <w:pPr>
              <w:cnfStyle w:val="000000000000"/>
            </w:pPr>
          </w:p>
          <w:p w:rsidR="00FF6032" w:rsidRPr="005C3D95" w:rsidRDefault="00FF6032" w:rsidP="0020356B">
            <w:pPr>
              <w:cnfStyle w:val="000000000000"/>
            </w:pPr>
          </w:p>
          <w:p w:rsidR="00FF6032" w:rsidRPr="005C3D95" w:rsidRDefault="00FF6032" w:rsidP="0020356B">
            <w:pPr>
              <w:cnfStyle w:val="000000000000"/>
            </w:pPr>
          </w:p>
        </w:tc>
        <w:tc>
          <w:tcPr>
            <w:tcW w:w="3119" w:type="dxa"/>
          </w:tcPr>
          <w:p w:rsidR="00FF6032" w:rsidRPr="005C3D95" w:rsidRDefault="00FF6032" w:rsidP="0020356B">
            <w:pPr>
              <w:cnfStyle w:val="000000000000"/>
            </w:pPr>
          </w:p>
        </w:tc>
        <w:tc>
          <w:tcPr>
            <w:tcW w:w="3685" w:type="dxa"/>
            <w:vMerge/>
            <w:shd w:val="clear" w:color="auto" w:fill="E5DFEC" w:themeFill="accent4" w:themeFillTint="33"/>
          </w:tcPr>
          <w:p w:rsidR="00FF6032" w:rsidRPr="005C3D95" w:rsidRDefault="00FF6032" w:rsidP="0020356B">
            <w:pPr>
              <w:cnfStyle w:val="000000000000"/>
            </w:pPr>
          </w:p>
        </w:tc>
      </w:tr>
    </w:tbl>
    <w:p w:rsidR="00DA6587" w:rsidRPr="005C3D95" w:rsidRDefault="00DA6587" w:rsidP="0020356B">
      <w:pPr>
        <w:spacing w:after="0" w:line="240" w:lineRule="auto"/>
      </w:pPr>
    </w:p>
    <w:p w:rsidR="00DA6587" w:rsidRPr="005C3D95" w:rsidRDefault="00DA6587" w:rsidP="0020356B">
      <w:pPr>
        <w:spacing w:after="0" w:line="240" w:lineRule="auto"/>
        <w:rPr>
          <w:lang w:val="es-CO"/>
        </w:rPr>
      </w:pPr>
    </w:p>
    <w:p w:rsidR="00DA6587" w:rsidRPr="00882408" w:rsidRDefault="00DA6587" w:rsidP="0020356B">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DA6587" w:rsidRPr="005C3D95" w:rsidRDefault="00DA6587" w:rsidP="0020356B">
      <w:pPr>
        <w:spacing w:after="0" w:line="240" w:lineRule="auto"/>
        <w:rPr>
          <w:b/>
          <w:lang w:val="es-CO"/>
        </w:rPr>
      </w:pPr>
    </w:p>
    <w:p w:rsidR="00DA6587" w:rsidRPr="005C3D95" w:rsidRDefault="00752CFD" w:rsidP="0020356B">
      <w:pPr>
        <w:spacing w:after="0" w:line="240" w:lineRule="auto"/>
        <w:rPr>
          <w:b/>
          <w:lang w:val="es-CO"/>
        </w:rPr>
      </w:pPr>
      <w:r w:rsidRPr="00752CFD">
        <w:rPr>
          <w:noProof/>
          <w:lang w:eastAsia="es-MX"/>
        </w:rPr>
        <w:pict>
          <v:line id="Conector recto 1" o:spid="_x0000_s1028" style="position:absolute;z-index:251660288;visibility:visible" from="-3.75pt,2.2pt" to="446.25pt,2.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DA6587" w:rsidRDefault="007E6D7C" w:rsidP="0020356B">
      <w:pPr>
        <w:spacing w:after="0" w:line="240" w:lineRule="auto"/>
        <w:rPr>
          <w:lang w:val="es-CO"/>
        </w:rPr>
      </w:pPr>
      <w:r>
        <w:rPr>
          <w:lang w:val="es-CO"/>
        </w:rPr>
        <w:t xml:space="preserve">En el siguiente link </w:t>
      </w:r>
      <w:hyperlink r:id="rId9" w:history="1">
        <w:r w:rsidRPr="00C91A31">
          <w:rPr>
            <w:rStyle w:val="Hipervnculo"/>
            <w:lang w:val="es-CO"/>
          </w:rPr>
          <w:t>http://www.umng.edu.co/www/resources/Art%202%20rev%2025.pdf</w:t>
        </w:r>
      </w:hyperlink>
      <w:r>
        <w:rPr>
          <w:lang w:val="es-CO"/>
        </w:rPr>
        <w:t xml:space="preserve"> podrás encontrar un recuento histórico de los derechos civiles y políticos en las diferentes constituciones.</w:t>
      </w:r>
    </w:p>
    <w:p w:rsidR="007E6D7C" w:rsidRDefault="007E6D7C" w:rsidP="0020356B">
      <w:pPr>
        <w:spacing w:after="0" w:line="240" w:lineRule="auto"/>
        <w:rPr>
          <w:lang w:val="es-CO"/>
        </w:rPr>
      </w:pPr>
      <w:r>
        <w:rPr>
          <w:lang w:val="es-CO"/>
        </w:rPr>
        <w:t xml:space="preserve">En el siguiente link </w:t>
      </w:r>
      <w:hyperlink r:id="rId10" w:history="1">
        <w:r w:rsidRPr="00C91A31">
          <w:rPr>
            <w:rStyle w:val="Hipervnculo"/>
            <w:lang w:val="es-CO"/>
          </w:rPr>
          <w:t>http://www.colombiassh.org/reh/spip.php?article463</w:t>
        </w:r>
      </w:hyperlink>
      <w:r>
        <w:rPr>
          <w:lang w:val="es-CO"/>
        </w:rPr>
        <w:t xml:space="preserve"> podrás analizar un debate sobre la situación de los derechos civiles y políticos de los indígenas en Colombia.</w:t>
      </w:r>
    </w:p>
    <w:p w:rsidR="007E6D7C" w:rsidRPr="005C3D95" w:rsidRDefault="007E6D7C" w:rsidP="0020356B">
      <w:pPr>
        <w:spacing w:after="0" w:line="240" w:lineRule="auto"/>
        <w:rPr>
          <w:lang w:val="es-CO"/>
        </w:rPr>
      </w:pPr>
      <w:r>
        <w:rPr>
          <w:lang w:val="es-CO"/>
        </w:rPr>
        <w:t xml:space="preserve">En el siguiente link </w:t>
      </w:r>
      <w:hyperlink r:id="rId11" w:history="1">
        <w:r w:rsidRPr="00C91A31">
          <w:rPr>
            <w:rStyle w:val="Hipervnculo"/>
            <w:lang w:val="es-CO"/>
          </w:rPr>
          <w:t>http://www.bvsde.paho.org/bvsacd/cd63/colombiaviolencia/derechos.pdf</w:t>
        </w:r>
      </w:hyperlink>
      <w:r>
        <w:rPr>
          <w:lang w:val="es-CO"/>
        </w:rPr>
        <w:t xml:space="preserve">  encontrarás un balance de la situación de derechos civiles y políticos en Colombia</w:t>
      </w:r>
    </w:p>
    <w:p w:rsidR="00FF6032" w:rsidRDefault="00FF6032" w:rsidP="0020356B">
      <w:pPr>
        <w:spacing w:after="0" w:line="240" w:lineRule="auto"/>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br w:type="page"/>
      </w:r>
    </w:p>
    <w:p w:rsidR="00DA6587" w:rsidRPr="00882408" w:rsidRDefault="00DA6587" w:rsidP="0020356B">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lastRenderedPageBreak/>
        <w:t>REFERENCIAS</w:t>
      </w:r>
    </w:p>
    <w:p w:rsidR="00DA6587" w:rsidRPr="005C3D95" w:rsidRDefault="00752CFD" w:rsidP="0020356B">
      <w:pPr>
        <w:spacing w:after="0" w:line="240" w:lineRule="auto"/>
        <w:rPr>
          <w:lang w:val="es-CO"/>
        </w:rPr>
      </w:pPr>
      <w:r w:rsidRPr="00752CFD">
        <w:rPr>
          <w:noProof/>
          <w:lang w:eastAsia="es-MX"/>
        </w:rPr>
        <w:pict>
          <v:line id="_x0000_s1027"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DA6587" w:rsidRDefault="00DA6587" w:rsidP="0020356B">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TOMADO DE:</w:t>
      </w:r>
    </w:p>
    <w:p w:rsidR="00DA6587" w:rsidRPr="00DE3122" w:rsidRDefault="00752CFD" w:rsidP="0020356B">
      <w:pPr>
        <w:spacing w:after="0" w:line="240" w:lineRule="auto"/>
        <w:rPr>
          <w:bCs/>
          <w:lang w:val="es-ES"/>
        </w:rPr>
      </w:pPr>
      <w:hyperlink r:id="rId12" w:history="1">
        <w:r w:rsidR="00FF6032" w:rsidRPr="00DE3122">
          <w:rPr>
            <w:rStyle w:val="Hipervnculo"/>
            <w:bCs/>
            <w:lang w:val="es-ES"/>
          </w:rPr>
          <w:t>http://www.ccprcentre.org/doc/HRC/Colombia/CCPR.C.COL.6.pdf</w:t>
        </w:r>
      </w:hyperlink>
    </w:p>
    <w:p w:rsidR="00DE3122" w:rsidRDefault="00752CFD" w:rsidP="0020356B">
      <w:pPr>
        <w:spacing w:after="0" w:line="240" w:lineRule="auto"/>
        <w:rPr>
          <w:b/>
          <w:bCs/>
          <w:lang w:val="es-ES"/>
        </w:rPr>
      </w:pPr>
      <w:hyperlink r:id="rId13" w:history="1">
        <w:r w:rsidR="00DE3122" w:rsidRPr="00DE3122">
          <w:rPr>
            <w:rStyle w:val="Hipervnculo"/>
            <w:bCs/>
            <w:lang w:val="es-ES"/>
          </w:rPr>
          <w:t>http://www.mercaba.org/FICHAS/Capel/derechos_y_deberes_civiles_y_pol.htm</w:t>
        </w:r>
      </w:hyperlink>
    </w:p>
    <w:p w:rsidR="00DE3122" w:rsidRPr="00445392" w:rsidRDefault="00752CFD" w:rsidP="0020356B">
      <w:pPr>
        <w:spacing w:after="0" w:line="240" w:lineRule="auto"/>
        <w:rPr>
          <w:bCs/>
          <w:lang w:val="es-ES"/>
        </w:rPr>
      </w:pPr>
      <w:hyperlink r:id="rId14" w:history="1">
        <w:r w:rsidR="00445392" w:rsidRPr="00445392">
          <w:rPr>
            <w:rStyle w:val="Hipervnculo"/>
            <w:bCs/>
            <w:lang w:val="es-ES"/>
          </w:rPr>
          <w:t>http://www.mercaba.org/FICHAS/Capel/derechos_y_deberes_civiles_y_pol.htm</w:t>
        </w:r>
      </w:hyperlink>
    </w:p>
    <w:p w:rsidR="00445392" w:rsidRDefault="00445392" w:rsidP="0020356B">
      <w:pPr>
        <w:spacing w:after="0" w:line="240" w:lineRule="auto"/>
        <w:rPr>
          <w:b/>
          <w:bCs/>
          <w:lang w:val="es-ES"/>
        </w:rPr>
      </w:pPr>
    </w:p>
    <w:p w:rsidR="00FF6032" w:rsidRPr="005C3D95" w:rsidRDefault="00FF6032" w:rsidP="0020356B">
      <w:pPr>
        <w:spacing w:after="0" w:line="240" w:lineRule="auto"/>
        <w:rPr>
          <w:b/>
          <w:bCs/>
          <w:lang w:val="es-ES"/>
        </w:rPr>
      </w:pPr>
    </w:p>
    <w:p w:rsidR="00DA6587" w:rsidRPr="005C3D95" w:rsidRDefault="00DA6587" w:rsidP="0020356B">
      <w:pPr>
        <w:spacing w:after="0" w:line="240" w:lineRule="auto"/>
        <w:rPr>
          <w:lang w:val="es-CO"/>
        </w:rPr>
      </w:pPr>
    </w:p>
    <w:p w:rsidR="00DA6587" w:rsidRPr="005C3D95" w:rsidRDefault="00DA6587" w:rsidP="0020356B">
      <w:pPr>
        <w:spacing w:after="0" w:line="240" w:lineRule="auto"/>
        <w:rPr>
          <w:lang w:val="es-CO"/>
        </w:rPr>
      </w:pPr>
    </w:p>
    <w:p w:rsidR="00DA6587" w:rsidRPr="00341A8F" w:rsidRDefault="00DA6587" w:rsidP="0020356B">
      <w:pPr>
        <w:spacing w:after="0" w:line="240" w:lineRule="auto"/>
      </w:pPr>
    </w:p>
    <w:p w:rsidR="00DA6587" w:rsidRDefault="00DA6587" w:rsidP="0020356B">
      <w:pPr>
        <w:spacing w:after="0" w:line="240" w:lineRule="auto"/>
      </w:pPr>
    </w:p>
    <w:p w:rsidR="00474507" w:rsidRDefault="00474507" w:rsidP="0020356B">
      <w:pPr>
        <w:spacing w:after="0" w:line="240" w:lineRule="auto"/>
      </w:pPr>
    </w:p>
    <w:sectPr w:rsidR="00474507" w:rsidSect="00236A0A">
      <w:headerReference w:type="even" r:id="rId15"/>
      <w:headerReference w:type="default" r:id="rId16"/>
      <w:footerReference w:type="even" r:id="rId17"/>
      <w:footerReference w:type="default" r:id="rId18"/>
      <w:headerReference w:type="first" r:id="rId19"/>
      <w:footerReference w:type="first" r:id="rId20"/>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02A" w:rsidRDefault="0057602A" w:rsidP="00DA6587">
      <w:pPr>
        <w:spacing w:after="0" w:line="240" w:lineRule="auto"/>
      </w:pPr>
      <w:r>
        <w:separator/>
      </w:r>
    </w:p>
  </w:endnote>
  <w:endnote w:type="continuationSeparator" w:id="0">
    <w:p w:rsidR="0057602A" w:rsidRDefault="0057602A" w:rsidP="00DA65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4D6" w:rsidRDefault="000C04D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4D6" w:rsidRDefault="000C04D6">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4D6" w:rsidRDefault="000C04D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02A" w:rsidRDefault="0057602A" w:rsidP="00DA6587">
      <w:pPr>
        <w:spacing w:after="0" w:line="240" w:lineRule="auto"/>
      </w:pPr>
      <w:r>
        <w:separator/>
      </w:r>
    </w:p>
  </w:footnote>
  <w:footnote w:type="continuationSeparator" w:id="0">
    <w:p w:rsidR="0057602A" w:rsidRDefault="0057602A" w:rsidP="00DA65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4D6" w:rsidRDefault="000C04D6">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752CFD" w:rsidP="00236A0A">
    <w:pPr>
      <w:pStyle w:val="Encabezado"/>
      <w:jc w:val="right"/>
      <w:rPr>
        <w:rFonts w:ascii="Arial" w:hAnsi="Arial"/>
        <w:i/>
        <w:sz w:val="20"/>
      </w:rPr>
    </w:pPr>
    <w:bookmarkStart w:id="0" w:name="_GoBack"/>
    <w:r w:rsidRPr="00752CF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bookmarkEnd w:id="0"/>
    <w:r w:rsidR="00CC59C2" w:rsidRPr="00C17CC6">
      <w:rPr>
        <w:rFonts w:ascii="Arial" w:hAnsi="Arial"/>
        <w:i/>
        <w:sz w:val="20"/>
      </w:rPr>
      <w:t>RECURSO COGNITIVO</w:t>
    </w:r>
  </w:p>
  <w:p w:rsidR="00157E29" w:rsidRPr="00C17CC6" w:rsidRDefault="00CC59C2"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CC59C2"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DA6587" w:rsidRPr="00DA6587">
      <w:rPr>
        <w:rFonts w:ascii="Arial" w:hAnsi="Arial"/>
        <w:sz w:val="20"/>
      </w:rPr>
      <w:t>Derechos civiles y políticos</w:t>
    </w:r>
  </w:p>
  <w:p w:rsidR="00157E29" w:rsidRPr="00674FE7" w:rsidRDefault="00CC59C2" w:rsidP="00236A0A">
    <w:pPr>
      <w:pStyle w:val="Encabezado"/>
      <w:jc w:val="right"/>
      <w:rPr>
        <w:rFonts w:ascii="Arial" w:hAnsi="Arial"/>
        <w:sz w:val="20"/>
      </w:rPr>
    </w:pPr>
    <w:r w:rsidRPr="00C17CC6">
      <w:rPr>
        <w:rFonts w:ascii="Arial" w:hAnsi="Arial"/>
        <w:sz w:val="20"/>
      </w:rPr>
      <w:t>CICLO:</w:t>
    </w:r>
    <w:r>
      <w:rPr>
        <w:rFonts w:ascii="Arial" w:hAnsi="Arial"/>
        <w:sz w:val="20"/>
      </w:rPr>
      <w:t xml:space="preserve">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4D6" w:rsidRDefault="000C04D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6C37D5C"/>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56651D1F"/>
    <w:multiLevelType w:val="hybridMultilevel"/>
    <w:tmpl w:val="6DCC93D8"/>
    <w:lvl w:ilvl="0" w:tplc="04CA3152">
      <w:start w:val="1"/>
      <w:numFmt w:val="decimal"/>
      <w:lvlText w:val="%1."/>
      <w:lvlJc w:val="left"/>
      <w:pPr>
        <w:ind w:left="70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A6587"/>
    <w:rsid w:val="0003051B"/>
    <w:rsid w:val="000C04D6"/>
    <w:rsid w:val="0020356B"/>
    <w:rsid w:val="00445392"/>
    <w:rsid w:val="00474507"/>
    <w:rsid w:val="004E4F24"/>
    <w:rsid w:val="0057602A"/>
    <w:rsid w:val="00752CFD"/>
    <w:rsid w:val="007A1C1B"/>
    <w:rsid w:val="007E6D7C"/>
    <w:rsid w:val="00800B1F"/>
    <w:rsid w:val="00925F34"/>
    <w:rsid w:val="00CC59C2"/>
    <w:rsid w:val="00DA6587"/>
    <w:rsid w:val="00DE3122"/>
    <w:rsid w:val="00FF6032"/>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58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DA6587"/>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DA658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A6587"/>
  </w:style>
  <w:style w:type="paragraph" w:styleId="Prrafodelista">
    <w:name w:val="List Paragraph"/>
    <w:basedOn w:val="Normal"/>
    <w:uiPriority w:val="34"/>
    <w:qFormat/>
    <w:rsid w:val="00DA6587"/>
    <w:pPr>
      <w:ind w:left="720"/>
      <w:contextualSpacing/>
    </w:pPr>
  </w:style>
  <w:style w:type="paragraph" w:styleId="Textodeglobo">
    <w:name w:val="Balloon Text"/>
    <w:basedOn w:val="Normal"/>
    <w:link w:val="TextodegloboCar"/>
    <w:uiPriority w:val="99"/>
    <w:semiHidden/>
    <w:unhideWhenUsed/>
    <w:rsid w:val="00DA658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A6587"/>
    <w:rPr>
      <w:rFonts w:ascii="Tahoma" w:hAnsi="Tahoma" w:cs="Tahoma"/>
      <w:sz w:val="16"/>
      <w:szCs w:val="16"/>
    </w:rPr>
  </w:style>
  <w:style w:type="paragraph" w:styleId="Piedepgina">
    <w:name w:val="footer"/>
    <w:basedOn w:val="Normal"/>
    <w:link w:val="PiedepginaCar"/>
    <w:uiPriority w:val="99"/>
    <w:unhideWhenUsed/>
    <w:rsid w:val="00DA658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A6587"/>
  </w:style>
  <w:style w:type="character" w:styleId="Refdenotaalpie">
    <w:name w:val="footnote reference"/>
    <w:basedOn w:val="Fuentedeprrafopredeter"/>
    <w:uiPriority w:val="99"/>
    <w:semiHidden/>
    <w:unhideWhenUsed/>
    <w:rsid w:val="00800B1F"/>
  </w:style>
  <w:style w:type="character" w:styleId="Hipervnculo">
    <w:name w:val="Hyperlink"/>
    <w:basedOn w:val="Fuentedeprrafopredeter"/>
    <w:uiPriority w:val="99"/>
    <w:unhideWhenUsed/>
    <w:rsid w:val="007E6D7C"/>
    <w:rPr>
      <w:color w:val="0000FF" w:themeColor="hyperlink"/>
      <w:u w:val="single"/>
    </w:rPr>
  </w:style>
  <w:style w:type="paragraph" w:customStyle="1" w:styleId="metido">
    <w:name w:val="metido"/>
    <w:basedOn w:val="Normal"/>
    <w:rsid w:val="00DE3122"/>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58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DA6587"/>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DA658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A6587"/>
  </w:style>
  <w:style w:type="paragraph" w:styleId="Prrafodelista">
    <w:name w:val="List Paragraph"/>
    <w:basedOn w:val="Normal"/>
    <w:uiPriority w:val="34"/>
    <w:qFormat/>
    <w:rsid w:val="00DA6587"/>
    <w:pPr>
      <w:ind w:left="720"/>
      <w:contextualSpacing/>
    </w:pPr>
  </w:style>
  <w:style w:type="paragraph" w:styleId="Textodeglobo">
    <w:name w:val="Balloon Text"/>
    <w:basedOn w:val="Normal"/>
    <w:link w:val="TextodegloboCar"/>
    <w:uiPriority w:val="99"/>
    <w:semiHidden/>
    <w:unhideWhenUsed/>
    <w:rsid w:val="00DA658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A6587"/>
    <w:rPr>
      <w:rFonts w:ascii="Tahoma" w:hAnsi="Tahoma" w:cs="Tahoma"/>
      <w:sz w:val="16"/>
      <w:szCs w:val="16"/>
    </w:rPr>
  </w:style>
  <w:style w:type="paragraph" w:styleId="Piedepgina">
    <w:name w:val="footer"/>
    <w:basedOn w:val="Normal"/>
    <w:link w:val="PiedepginaCar"/>
    <w:uiPriority w:val="99"/>
    <w:unhideWhenUsed/>
    <w:rsid w:val="00DA658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A6587"/>
  </w:style>
</w:styles>
</file>

<file path=word/webSettings.xml><?xml version="1.0" encoding="utf-8"?>
<w:webSettings xmlns:r="http://schemas.openxmlformats.org/officeDocument/2006/relationships" xmlns:w="http://schemas.openxmlformats.org/wordprocessingml/2006/main">
  <w:divs>
    <w:div w:id="1056320566">
      <w:bodyDiv w:val="1"/>
      <w:marLeft w:val="0"/>
      <w:marRight w:val="0"/>
      <w:marTop w:val="0"/>
      <w:marBottom w:val="0"/>
      <w:divBdr>
        <w:top w:val="none" w:sz="0" w:space="0" w:color="auto"/>
        <w:left w:val="none" w:sz="0" w:space="0" w:color="auto"/>
        <w:bottom w:val="none" w:sz="0" w:space="0" w:color="auto"/>
        <w:right w:val="none" w:sz="0" w:space="0" w:color="auto"/>
      </w:divBdr>
    </w:div>
    <w:div w:id="1111432930">
      <w:bodyDiv w:val="1"/>
      <w:marLeft w:val="0"/>
      <w:marRight w:val="0"/>
      <w:marTop w:val="0"/>
      <w:marBottom w:val="0"/>
      <w:divBdr>
        <w:top w:val="none" w:sz="0" w:space="0" w:color="auto"/>
        <w:left w:val="none" w:sz="0" w:space="0" w:color="auto"/>
        <w:bottom w:val="none" w:sz="0" w:space="0" w:color="auto"/>
        <w:right w:val="none" w:sz="0" w:space="0" w:color="auto"/>
      </w:divBdr>
    </w:div>
    <w:div w:id="154621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mercaba.org/FICHAS/Capel/derechos_y_deberes_civiles_y_pol.ht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ccprcentre.org/doc/HRC/Colombia/CCPR.C.COL.6.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vsde.paho.org/bvsacd/cd63/colombiaviolencia/derechos.pdf" TargetMode="External"/><Relationship Id="rId5" Type="http://schemas.openxmlformats.org/officeDocument/2006/relationships/footnotes" Target="footnote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ww.colombiassh.org/reh/spip.php?article463"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umng.edu.co/www/resources/Art%202%20rev%2025.pdf" TargetMode="External"/><Relationship Id="rId14" Type="http://schemas.openxmlformats.org/officeDocument/2006/relationships/hyperlink" Target="http://www.mercaba.org/FICHAS/Capel/derechos_y_deberes_civiles_y_pol.ht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1922</Words>
  <Characters>10573</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2011-08-29T16:02:00Z</dcterms:created>
  <dcterms:modified xsi:type="dcterms:W3CDTF">2011-08-29T16:02:00Z</dcterms:modified>
</cp:coreProperties>
</file>